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0" w:type="dxa"/>
        <w:jc w:val="center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2040"/>
        <w:gridCol w:w="62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370" w:type="dxa"/>
            <w:gridSpan w:val="3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/>
                <w:b/>
                <w:snapToGrid w:val="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napToGrid w:val="0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Theme="majorEastAsia" w:hAnsiTheme="majorEastAsia" w:eastAsiaTheme="majorEastAsia"/>
                <w:b/>
                <w:snapToGrid w:val="0"/>
                <w:kern w:val="0"/>
                <w:sz w:val="36"/>
                <w:szCs w:val="36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snapToGrid w:val="0"/>
                <w:kern w:val="0"/>
                <w:sz w:val="36"/>
                <w:szCs w:val="36"/>
              </w:rPr>
              <w:t>新疆维吾尔自治区中小学教师招聘考试专业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snapToGrid w:val="0"/>
                <w:kern w:val="0"/>
                <w:sz w:val="36"/>
                <w:szCs w:val="36"/>
              </w:rPr>
              <w:t>参考目录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汉语类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汉语言翻译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汉语文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2"/>
              </w:rPr>
              <w:t>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  　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英语类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政治类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物理类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地理类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历史类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美术类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音乐类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体育类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心理健康类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科学类</w:t>
            </w:r>
          </w:p>
        </w:tc>
        <w:tc>
          <w:tcPr>
            <w:tcW w:w="6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综合实践活动类</w:t>
            </w:r>
          </w:p>
        </w:tc>
        <w:tc>
          <w:tcPr>
            <w:tcW w:w="6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通用技术类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物理类对应专业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数学类、物理类、化学类、计算机类对应专业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学前岗位</w:t>
            </w:r>
          </w:p>
        </w:tc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学前教育、学前双语教育、幼儿教育。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C22E3"/>
    <w:rsid w:val="0AA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空酒瓶</cp:lastModifiedBy>
  <dcterms:modified xsi:type="dcterms:W3CDTF">2019-05-28T15:22:10Z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